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A4" w:rsidRPr="00BC6493" w:rsidRDefault="004629A4" w:rsidP="004629A4">
      <w:pPr>
        <w:spacing w:line="276" w:lineRule="auto"/>
        <w:rPr>
          <w:rFonts w:cs="Arial"/>
          <w:b/>
          <w:sz w:val="24"/>
        </w:rPr>
      </w:pPr>
      <w:bookmarkStart w:id="0" w:name="_GoBack"/>
      <w:bookmarkEnd w:id="0"/>
      <w:r w:rsidRPr="00BC6493">
        <w:rPr>
          <w:rFonts w:cs="Arial"/>
          <w:b/>
          <w:sz w:val="24"/>
        </w:rPr>
        <w:t xml:space="preserve">2013-2014 WGEA Report Commentary </w:t>
      </w:r>
    </w:p>
    <w:p w:rsidR="004629A4" w:rsidRDefault="004629A4" w:rsidP="004629A4">
      <w:pPr>
        <w:spacing w:line="276" w:lineRule="auto"/>
        <w:rPr>
          <w:rFonts w:cs="Arial"/>
          <w:szCs w:val="20"/>
        </w:rPr>
      </w:pPr>
    </w:p>
    <w:p w:rsidR="00BC6493" w:rsidRDefault="00BC6493" w:rsidP="004629A4">
      <w:pPr>
        <w:spacing w:line="276" w:lineRule="auto"/>
        <w:rPr>
          <w:rFonts w:cs="Arial"/>
          <w:szCs w:val="20"/>
        </w:rPr>
      </w:pPr>
    </w:p>
    <w:p w:rsidR="004629A4" w:rsidRPr="00477E0B" w:rsidRDefault="004629A4" w:rsidP="004629A4">
      <w:pPr>
        <w:spacing w:line="276" w:lineRule="auto"/>
        <w:rPr>
          <w:rFonts w:cs="Arial"/>
          <w:szCs w:val="20"/>
        </w:rPr>
      </w:pPr>
      <w:r w:rsidRPr="00477E0B">
        <w:rPr>
          <w:rFonts w:cs="Arial"/>
          <w:szCs w:val="20"/>
        </w:rPr>
        <w:t xml:space="preserve">The following information is provided </w:t>
      </w:r>
      <w:r w:rsidR="00BC6493">
        <w:rPr>
          <w:rFonts w:cs="Arial"/>
          <w:szCs w:val="20"/>
        </w:rPr>
        <w:t xml:space="preserve">to assist </w:t>
      </w:r>
      <w:r w:rsidRPr="00477E0B">
        <w:rPr>
          <w:rFonts w:cs="Arial"/>
          <w:szCs w:val="20"/>
        </w:rPr>
        <w:t>relevant stakeholders</w:t>
      </w:r>
      <w:r w:rsidR="00BC6493">
        <w:rPr>
          <w:rFonts w:cs="Arial"/>
          <w:szCs w:val="20"/>
        </w:rPr>
        <w:t xml:space="preserve"> to interpret the information in the 2013-2014 UOW WGEA report:</w:t>
      </w:r>
    </w:p>
    <w:p w:rsidR="004629A4" w:rsidRPr="00477E0B" w:rsidRDefault="004629A4" w:rsidP="004629A4">
      <w:pPr>
        <w:spacing w:line="276" w:lineRule="auto"/>
        <w:rPr>
          <w:rFonts w:cs="Arial"/>
          <w:szCs w:val="20"/>
        </w:rPr>
      </w:pPr>
    </w:p>
    <w:p w:rsid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The WGE Agency requires data to be collected from a point in time, not averaged across the reporting year. The selected date for 2014 reporting was 31 March 2014.</w:t>
      </w:r>
    </w:p>
    <w:p w:rsidR="004629A4" w:rsidRPr="004629A4" w:rsidRDefault="004629A4" w:rsidP="004629A4">
      <w:pPr>
        <w:pStyle w:val="ListParagraph"/>
        <w:spacing w:before="240" w:after="120" w:line="276" w:lineRule="auto"/>
        <w:ind w:left="360"/>
        <w:rPr>
          <w:rFonts w:eastAsia="Calibri" w:cs="Arial"/>
          <w:szCs w:val="20"/>
          <w:lang w:eastAsia="en-US"/>
        </w:rPr>
      </w:pPr>
    </w:p>
    <w:p w:rsid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The WGE Agency requires a breakdown of occupational categories, to show gender representation at the different levels of the organisation. These are indicated in the first column of</w:t>
      </w:r>
      <w:r>
        <w:rPr>
          <w:rFonts w:eastAsia="Calibri" w:cs="Arial"/>
          <w:szCs w:val="20"/>
          <w:lang w:eastAsia="en-US"/>
        </w:rPr>
        <w:t xml:space="preserve"> the Workplace Profile.</w:t>
      </w:r>
    </w:p>
    <w:p w:rsidR="004629A4" w:rsidRPr="004629A4" w:rsidRDefault="004629A4" w:rsidP="004629A4">
      <w:pPr>
        <w:pStyle w:val="ListParagraph"/>
        <w:ind w:left="3"/>
        <w:rPr>
          <w:rFonts w:eastAsia="Calibri" w:cs="Arial"/>
          <w:szCs w:val="20"/>
          <w:lang w:eastAsia="en-US"/>
        </w:rPr>
      </w:pPr>
    </w:p>
    <w:p w:rsid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The Workplace Profile is divided into two sections, the manager profile and the non-manager profile.</w:t>
      </w:r>
    </w:p>
    <w:p w:rsidR="004629A4" w:rsidRPr="004629A4" w:rsidRDefault="004629A4" w:rsidP="004629A4">
      <w:pPr>
        <w:pStyle w:val="ListParagraph"/>
        <w:ind w:left="3"/>
        <w:rPr>
          <w:rFonts w:eastAsia="Calibri" w:cs="Arial"/>
          <w:szCs w:val="20"/>
          <w:lang w:eastAsia="en-US"/>
        </w:rPr>
      </w:pPr>
    </w:p>
    <w:p w:rsid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Management responsibility was extracted from the position table in the HR system and is indicated in the Manager Profile (pages 1-2) by Reporting level to CEO (Vice Chancellor) in column 2.</w:t>
      </w:r>
    </w:p>
    <w:p w:rsidR="004629A4" w:rsidRPr="004629A4" w:rsidRDefault="004629A4" w:rsidP="004629A4">
      <w:pPr>
        <w:pStyle w:val="ListParagraph"/>
        <w:ind w:left="3"/>
        <w:rPr>
          <w:rFonts w:eastAsia="Calibri" w:cs="Arial"/>
          <w:szCs w:val="20"/>
          <w:lang w:eastAsia="en-US"/>
        </w:rPr>
      </w:pPr>
    </w:p>
    <w:p w:rsid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 xml:space="preserve">At the reporting date, ‘Key Management Personnel’ include Direct reports to the Vice-Chancellor i.e. Senior Executives, Executive Deans and Deans.  Although no longer comparable, the 2013 data was captured during a state of transition and included the new Executive Deans and the existing Deans of the Faculties, still in situ. Consequently the sample size of Key Management Personnel has reduced compared to the sum of these categories in the 2013 report. </w:t>
      </w:r>
    </w:p>
    <w:p w:rsidR="004629A4" w:rsidRPr="004629A4" w:rsidRDefault="004629A4" w:rsidP="004629A4">
      <w:pPr>
        <w:pStyle w:val="ListParagraph"/>
        <w:ind w:left="3"/>
        <w:rPr>
          <w:rFonts w:eastAsia="Calibri" w:cs="Arial"/>
          <w:szCs w:val="20"/>
          <w:lang w:eastAsia="en-US"/>
        </w:rPr>
      </w:pPr>
    </w:p>
    <w:p w:rsidR="004629A4" w:rsidRP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cs="Arial"/>
          <w:szCs w:val="20"/>
        </w:rPr>
        <w:t>Remuneration Data is not disclosed in the Public Report.</w:t>
      </w:r>
    </w:p>
    <w:p w:rsidR="004629A4" w:rsidRPr="004629A4" w:rsidRDefault="004629A4" w:rsidP="004629A4">
      <w:pPr>
        <w:pStyle w:val="ListParagraph"/>
        <w:ind w:left="3"/>
        <w:rPr>
          <w:rFonts w:eastAsia="Calibri" w:cs="Arial"/>
          <w:szCs w:val="20"/>
          <w:lang w:eastAsia="en-US"/>
        </w:rPr>
      </w:pPr>
    </w:p>
    <w:p w:rsidR="004629A4" w:rsidRP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cs="Arial"/>
          <w:szCs w:val="20"/>
        </w:rPr>
        <w:t xml:space="preserve">The workplace profile groups, averages and compares remuneration by gender by category e.g. Professionals, not necessarily by comparable roles.  </w:t>
      </w:r>
    </w:p>
    <w:p w:rsidR="004629A4" w:rsidRPr="004629A4" w:rsidRDefault="004629A4" w:rsidP="004629A4">
      <w:pPr>
        <w:pStyle w:val="ListParagraph"/>
        <w:ind w:left="3"/>
        <w:rPr>
          <w:rFonts w:eastAsia="Calibri" w:cs="Arial"/>
          <w:szCs w:val="20"/>
          <w:lang w:eastAsia="en-US"/>
        </w:rPr>
      </w:pPr>
    </w:p>
    <w:p w:rsid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 xml:space="preserve">Casual </w:t>
      </w:r>
      <w:proofErr w:type="gramStart"/>
      <w:r w:rsidRPr="004629A4">
        <w:rPr>
          <w:rFonts w:eastAsia="Calibri" w:cs="Arial"/>
          <w:szCs w:val="20"/>
          <w:lang w:eastAsia="en-US"/>
        </w:rPr>
        <w:t>staff</w:t>
      </w:r>
      <w:proofErr w:type="gramEnd"/>
      <w:r w:rsidRPr="004629A4">
        <w:rPr>
          <w:rFonts w:eastAsia="Calibri" w:cs="Arial"/>
          <w:szCs w:val="20"/>
          <w:lang w:eastAsia="en-US"/>
        </w:rPr>
        <w:t xml:space="preserve"> who have worked less than 2 months have not been included. In previous years all casual staff with a casual authority in the system on the 28</w:t>
      </w:r>
      <w:r w:rsidRPr="004629A4">
        <w:rPr>
          <w:rFonts w:eastAsia="Calibri" w:cs="Arial"/>
          <w:szCs w:val="20"/>
          <w:vertAlign w:val="superscript"/>
          <w:lang w:eastAsia="en-US"/>
        </w:rPr>
        <w:t>th</w:t>
      </w:r>
      <w:r w:rsidRPr="004629A4">
        <w:rPr>
          <w:rFonts w:eastAsia="Calibri" w:cs="Arial"/>
          <w:szCs w:val="20"/>
          <w:lang w:eastAsia="en-US"/>
        </w:rPr>
        <w:t xml:space="preserve"> March 2013 were included in the data gathering.  The number of casual staff captured this year is however significantly higher.</w:t>
      </w:r>
    </w:p>
    <w:p w:rsidR="004629A4" w:rsidRPr="004629A4" w:rsidRDefault="004629A4" w:rsidP="004629A4">
      <w:pPr>
        <w:pStyle w:val="ListParagraph"/>
        <w:ind w:left="3"/>
        <w:rPr>
          <w:rFonts w:eastAsia="Calibri" w:cs="Arial"/>
          <w:szCs w:val="20"/>
          <w:lang w:eastAsia="en-US"/>
        </w:rPr>
      </w:pPr>
    </w:p>
    <w:p w:rsid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 xml:space="preserve">Salary is based on annual taxable salary.  </w:t>
      </w:r>
    </w:p>
    <w:p w:rsidR="004629A4" w:rsidRPr="004629A4" w:rsidRDefault="004629A4" w:rsidP="004629A4">
      <w:pPr>
        <w:pStyle w:val="ListParagraph"/>
        <w:ind w:left="3"/>
        <w:rPr>
          <w:rFonts w:eastAsia="Calibri" w:cs="Arial"/>
          <w:szCs w:val="20"/>
          <w:lang w:eastAsia="en-US"/>
        </w:rPr>
      </w:pPr>
    </w:p>
    <w:p w:rsid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 xml:space="preserve">Total Remuneration is based on salary (annualised as per occupancy record), plus allowances, market loading, car allowance and superannuation.  </w:t>
      </w:r>
    </w:p>
    <w:p w:rsidR="004629A4" w:rsidRPr="004629A4" w:rsidRDefault="004629A4" w:rsidP="004629A4">
      <w:pPr>
        <w:pStyle w:val="ListParagraph"/>
        <w:ind w:left="3"/>
        <w:rPr>
          <w:rFonts w:eastAsia="Calibri" w:cs="Arial"/>
          <w:szCs w:val="20"/>
          <w:lang w:eastAsia="en-US"/>
        </w:rPr>
      </w:pPr>
    </w:p>
    <w:p w:rsid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 xml:space="preserve">Remuneration for casual employees has been converted to an annual rate as per WGEA guidelines. </w:t>
      </w:r>
    </w:p>
    <w:p w:rsidR="004629A4" w:rsidRPr="004629A4" w:rsidRDefault="004629A4" w:rsidP="004629A4">
      <w:pPr>
        <w:pStyle w:val="ListParagraph"/>
        <w:ind w:left="3"/>
        <w:rPr>
          <w:rFonts w:eastAsia="Calibri" w:cs="Arial"/>
          <w:szCs w:val="20"/>
          <w:lang w:eastAsia="en-US"/>
        </w:rPr>
      </w:pPr>
    </w:p>
    <w:p w:rsid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As required by WGEA, reporting is for Headcount (opposed to Full Time Equivalent Staff).</w:t>
      </w:r>
    </w:p>
    <w:p w:rsidR="004629A4" w:rsidRPr="004629A4" w:rsidRDefault="004629A4" w:rsidP="004629A4">
      <w:pPr>
        <w:pStyle w:val="ListParagraph"/>
        <w:ind w:left="3"/>
        <w:rPr>
          <w:rFonts w:eastAsia="Calibri" w:cs="Arial"/>
          <w:szCs w:val="20"/>
          <w:lang w:eastAsia="en-US"/>
        </w:rPr>
      </w:pPr>
    </w:p>
    <w:p w:rsid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The second, third and fourth categories of managers and the category of Professionals include a combination of academic and professional staff roles.</w:t>
      </w:r>
    </w:p>
    <w:p w:rsidR="004629A4" w:rsidRPr="004629A4" w:rsidRDefault="004629A4" w:rsidP="004629A4">
      <w:pPr>
        <w:pStyle w:val="ListParagraph"/>
        <w:ind w:left="3"/>
        <w:rPr>
          <w:rFonts w:eastAsia="Calibri" w:cs="Arial"/>
          <w:szCs w:val="20"/>
          <w:lang w:eastAsia="en-US"/>
        </w:rPr>
      </w:pPr>
    </w:p>
    <w:p w:rsidR="004629A4" w:rsidRPr="004629A4" w:rsidRDefault="004629A4" w:rsidP="004629A4">
      <w:pPr>
        <w:pStyle w:val="ListParagraph"/>
        <w:numPr>
          <w:ilvl w:val="0"/>
          <w:numId w:val="4"/>
        </w:numPr>
        <w:spacing w:before="240" w:after="120" w:line="276" w:lineRule="auto"/>
        <w:ind w:left="360"/>
        <w:rPr>
          <w:rFonts w:eastAsia="Calibri" w:cs="Arial"/>
          <w:szCs w:val="20"/>
          <w:lang w:eastAsia="en-US"/>
        </w:rPr>
      </w:pPr>
      <w:r w:rsidRPr="004629A4">
        <w:rPr>
          <w:rFonts w:eastAsia="Calibri" w:cs="Arial"/>
          <w:szCs w:val="20"/>
          <w:lang w:eastAsia="en-US"/>
        </w:rPr>
        <w:t>This profile excludes subsidiaries of UOW  and honorary staff members</w:t>
      </w:r>
    </w:p>
    <w:p w:rsidR="00FD33E4" w:rsidRDefault="00FD33E4" w:rsidP="004629A4"/>
    <w:sectPr w:rsidR="00FD33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77" w:rsidRDefault="00026E77" w:rsidP="00BC6493">
      <w:r>
        <w:separator/>
      </w:r>
    </w:p>
  </w:endnote>
  <w:endnote w:type="continuationSeparator" w:id="0">
    <w:p w:rsidR="00026E77" w:rsidRDefault="00026E77" w:rsidP="00BC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BC6493">
      <w:tc>
        <w:tcPr>
          <w:tcW w:w="4500" w:type="pct"/>
          <w:tcBorders>
            <w:top w:val="single" w:sz="4" w:space="0" w:color="000000" w:themeColor="text1"/>
          </w:tcBorders>
        </w:tcPr>
        <w:p w:rsidR="00BC6493" w:rsidRDefault="008D11F0" w:rsidP="00BC6493">
          <w:pPr>
            <w:pStyle w:val="Footer"/>
            <w:jc w:val="right"/>
          </w:pPr>
          <w:sdt>
            <w:sdtPr>
              <w:alias w:val="Company"/>
              <w:id w:val="75971759"/>
              <w:placeholder>
                <w:docPart w:val="D4588ACC1910432A8F3C25F2DFEFE0E6"/>
              </w:placeholder>
              <w:dataBinding w:prefixMappings="xmlns:ns0='http://schemas.openxmlformats.org/officeDocument/2006/extended-properties'" w:xpath="/ns0:Properties[1]/ns0:Company[1]" w:storeItemID="{6668398D-A668-4E3E-A5EB-62B293D839F1}"/>
              <w:text/>
            </w:sdtPr>
            <w:sdtEndPr/>
            <w:sdtContent>
              <w:r w:rsidR="00BC6493">
                <w:t>University of Wollongong</w:t>
              </w:r>
            </w:sdtContent>
          </w:sdt>
          <w:r w:rsidR="00BC6493">
            <w:t xml:space="preserve"> | 2013-2014 WGEA Report Commentary</w:t>
          </w:r>
        </w:p>
      </w:tc>
      <w:tc>
        <w:tcPr>
          <w:tcW w:w="500" w:type="pct"/>
          <w:tcBorders>
            <w:top w:val="single" w:sz="4" w:space="0" w:color="C0504D" w:themeColor="accent2"/>
          </w:tcBorders>
          <w:shd w:val="clear" w:color="auto" w:fill="943634" w:themeFill="accent2" w:themeFillShade="BF"/>
        </w:tcPr>
        <w:p w:rsidR="00BC6493" w:rsidRDefault="00BC6493">
          <w:pPr>
            <w:pStyle w:val="Header"/>
            <w:rPr>
              <w:color w:val="FFFFFF" w:themeColor="background1"/>
            </w:rPr>
          </w:pPr>
          <w:r>
            <w:fldChar w:fldCharType="begin"/>
          </w:r>
          <w:r>
            <w:instrText xml:space="preserve"> PAGE   \* MERGEFORMAT </w:instrText>
          </w:r>
          <w:r>
            <w:fldChar w:fldCharType="separate"/>
          </w:r>
          <w:r w:rsidR="008D11F0" w:rsidRPr="008D11F0">
            <w:rPr>
              <w:noProof/>
              <w:color w:val="FFFFFF" w:themeColor="background1"/>
            </w:rPr>
            <w:t>1</w:t>
          </w:r>
          <w:r>
            <w:rPr>
              <w:noProof/>
              <w:color w:val="FFFFFF" w:themeColor="background1"/>
            </w:rPr>
            <w:fldChar w:fldCharType="end"/>
          </w:r>
        </w:p>
      </w:tc>
    </w:tr>
  </w:tbl>
  <w:p w:rsidR="00BC6493" w:rsidRDefault="00BC6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77" w:rsidRDefault="00026E77" w:rsidP="00BC6493">
      <w:r>
        <w:separator/>
      </w:r>
    </w:p>
  </w:footnote>
  <w:footnote w:type="continuationSeparator" w:id="0">
    <w:p w:rsidR="00026E77" w:rsidRDefault="00026E77" w:rsidP="00BC6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C8F"/>
    <w:multiLevelType w:val="hybridMultilevel"/>
    <w:tmpl w:val="23E8BFCA"/>
    <w:lvl w:ilvl="0" w:tplc="0C09000F">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nsid w:val="0D7E4AC4"/>
    <w:multiLevelType w:val="hybridMultilevel"/>
    <w:tmpl w:val="0CA43A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A86274"/>
    <w:multiLevelType w:val="hybridMultilevel"/>
    <w:tmpl w:val="867A6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C142DC"/>
    <w:multiLevelType w:val="hybridMultilevel"/>
    <w:tmpl w:val="5E427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A4"/>
    <w:rsid w:val="0000049B"/>
    <w:rsid w:val="00001DB9"/>
    <w:rsid w:val="000032A3"/>
    <w:rsid w:val="00004136"/>
    <w:rsid w:val="00005E26"/>
    <w:rsid w:val="00007A18"/>
    <w:rsid w:val="000121E2"/>
    <w:rsid w:val="0001517C"/>
    <w:rsid w:val="00017AE4"/>
    <w:rsid w:val="00026E77"/>
    <w:rsid w:val="000273C6"/>
    <w:rsid w:val="000353FE"/>
    <w:rsid w:val="00042AA1"/>
    <w:rsid w:val="0004466B"/>
    <w:rsid w:val="000506CB"/>
    <w:rsid w:val="00050AD9"/>
    <w:rsid w:val="00055125"/>
    <w:rsid w:val="000575AF"/>
    <w:rsid w:val="00060026"/>
    <w:rsid w:val="00060350"/>
    <w:rsid w:val="000603D9"/>
    <w:rsid w:val="00060FCE"/>
    <w:rsid w:val="00067FAE"/>
    <w:rsid w:val="00072D71"/>
    <w:rsid w:val="0007631D"/>
    <w:rsid w:val="00077A3F"/>
    <w:rsid w:val="00081926"/>
    <w:rsid w:val="00083983"/>
    <w:rsid w:val="00083D9D"/>
    <w:rsid w:val="0008741E"/>
    <w:rsid w:val="000928A6"/>
    <w:rsid w:val="00093133"/>
    <w:rsid w:val="0009739B"/>
    <w:rsid w:val="000A1F69"/>
    <w:rsid w:val="000A3145"/>
    <w:rsid w:val="000A3B4A"/>
    <w:rsid w:val="000A4B8F"/>
    <w:rsid w:val="000A5D35"/>
    <w:rsid w:val="000B22AD"/>
    <w:rsid w:val="000B2D61"/>
    <w:rsid w:val="000B3132"/>
    <w:rsid w:val="000C246D"/>
    <w:rsid w:val="000C2DAC"/>
    <w:rsid w:val="000C4E4A"/>
    <w:rsid w:val="000C7CC3"/>
    <w:rsid w:val="000D00A2"/>
    <w:rsid w:val="000D6890"/>
    <w:rsid w:val="000D6ADB"/>
    <w:rsid w:val="000D71A7"/>
    <w:rsid w:val="000E120D"/>
    <w:rsid w:val="000E1A37"/>
    <w:rsid w:val="000E58E3"/>
    <w:rsid w:val="000E78BB"/>
    <w:rsid w:val="000E7BD2"/>
    <w:rsid w:val="000E7C79"/>
    <w:rsid w:val="000F1220"/>
    <w:rsid w:val="000F1E79"/>
    <w:rsid w:val="000F3118"/>
    <w:rsid w:val="000F518D"/>
    <w:rsid w:val="000F6F7E"/>
    <w:rsid w:val="00100862"/>
    <w:rsid w:val="00102A23"/>
    <w:rsid w:val="0011616A"/>
    <w:rsid w:val="00117904"/>
    <w:rsid w:val="001204EB"/>
    <w:rsid w:val="001208DC"/>
    <w:rsid w:val="00120BDA"/>
    <w:rsid w:val="00120E31"/>
    <w:rsid w:val="00121B50"/>
    <w:rsid w:val="00123B74"/>
    <w:rsid w:val="00124027"/>
    <w:rsid w:val="0012716A"/>
    <w:rsid w:val="00131BBB"/>
    <w:rsid w:val="00140353"/>
    <w:rsid w:val="0014288C"/>
    <w:rsid w:val="001428AA"/>
    <w:rsid w:val="001459F1"/>
    <w:rsid w:val="00145D1B"/>
    <w:rsid w:val="0015090F"/>
    <w:rsid w:val="0015149C"/>
    <w:rsid w:val="00154F08"/>
    <w:rsid w:val="00157BE8"/>
    <w:rsid w:val="00160BFE"/>
    <w:rsid w:val="00160CC5"/>
    <w:rsid w:val="00160CD4"/>
    <w:rsid w:val="001620E9"/>
    <w:rsid w:val="001678A2"/>
    <w:rsid w:val="0017015D"/>
    <w:rsid w:val="00170F2B"/>
    <w:rsid w:val="001718BB"/>
    <w:rsid w:val="00171C28"/>
    <w:rsid w:val="00176629"/>
    <w:rsid w:val="001800CB"/>
    <w:rsid w:val="00183D0C"/>
    <w:rsid w:val="0018442B"/>
    <w:rsid w:val="00190321"/>
    <w:rsid w:val="001A2B5C"/>
    <w:rsid w:val="001A3B6E"/>
    <w:rsid w:val="001A58C8"/>
    <w:rsid w:val="001A5DBD"/>
    <w:rsid w:val="001B06C1"/>
    <w:rsid w:val="001B20E5"/>
    <w:rsid w:val="001B5B53"/>
    <w:rsid w:val="001C0342"/>
    <w:rsid w:val="001C13CE"/>
    <w:rsid w:val="001C1FEA"/>
    <w:rsid w:val="001C329B"/>
    <w:rsid w:val="001D15C6"/>
    <w:rsid w:val="001D2301"/>
    <w:rsid w:val="001D6F69"/>
    <w:rsid w:val="001E0421"/>
    <w:rsid w:val="001E2583"/>
    <w:rsid w:val="001E47D5"/>
    <w:rsid w:val="001E5045"/>
    <w:rsid w:val="001F0C1D"/>
    <w:rsid w:val="001F202C"/>
    <w:rsid w:val="001F44D2"/>
    <w:rsid w:val="0020152B"/>
    <w:rsid w:val="00201650"/>
    <w:rsid w:val="002041EE"/>
    <w:rsid w:val="00204ABE"/>
    <w:rsid w:val="00207065"/>
    <w:rsid w:val="00210328"/>
    <w:rsid w:val="00211549"/>
    <w:rsid w:val="002119D1"/>
    <w:rsid w:val="002124B8"/>
    <w:rsid w:val="00221258"/>
    <w:rsid w:val="002218C8"/>
    <w:rsid w:val="00224767"/>
    <w:rsid w:val="002270A6"/>
    <w:rsid w:val="00227245"/>
    <w:rsid w:val="00242D5C"/>
    <w:rsid w:val="00245A4F"/>
    <w:rsid w:val="00246BDD"/>
    <w:rsid w:val="00247557"/>
    <w:rsid w:val="00250E97"/>
    <w:rsid w:val="00255570"/>
    <w:rsid w:val="002563E6"/>
    <w:rsid w:val="00256517"/>
    <w:rsid w:val="00261050"/>
    <w:rsid w:val="00263ADB"/>
    <w:rsid w:val="00264484"/>
    <w:rsid w:val="00264CF4"/>
    <w:rsid w:val="00266D21"/>
    <w:rsid w:val="002674A0"/>
    <w:rsid w:val="002723C8"/>
    <w:rsid w:val="00276DD7"/>
    <w:rsid w:val="00280E75"/>
    <w:rsid w:val="00281099"/>
    <w:rsid w:val="00283460"/>
    <w:rsid w:val="00283A97"/>
    <w:rsid w:val="002904F1"/>
    <w:rsid w:val="00290A37"/>
    <w:rsid w:val="0029125C"/>
    <w:rsid w:val="00294261"/>
    <w:rsid w:val="002974DF"/>
    <w:rsid w:val="002A53B8"/>
    <w:rsid w:val="002A73A9"/>
    <w:rsid w:val="002B0786"/>
    <w:rsid w:val="002B23B9"/>
    <w:rsid w:val="002B5F8F"/>
    <w:rsid w:val="002B7DB7"/>
    <w:rsid w:val="002C24B6"/>
    <w:rsid w:val="002D43B6"/>
    <w:rsid w:val="002D6AEE"/>
    <w:rsid w:val="002D6C44"/>
    <w:rsid w:val="002E0D11"/>
    <w:rsid w:val="002E44EA"/>
    <w:rsid w:val="002E7C34"/>
    <w:rsid w:val="002F290F"/>
    <w:rsid w:val="002F2F16"/>
    <w:rsid w:val="002F57F2"/>
    <w:rsid w:val="0030119F"/>
    <w:rsid w:val="0030197B"/>
    <w:rsid w:val="00301B52"/>
    <w:rsid w:val="0030250F"/>
    <w:rsid w:val="00303A26"/>
    <w:rsid w:val="00305E37"/>
    <w:rsid w:val="00315919"/>
    <w:rsid w:val="00316AD6"/>
    <w:rsid w:val="0032055B"/>
    <w:rsid w:val="00322EE5"/>
    <w:rsid w:val="00324004"/>
    <w:rsid w:val="0032501D"/>
    <w:rsid w:val="003273C3"/>
    <w:rsid w:val="00330396"/>
    <w:rsid w:val="003323F1"/>
    <w:rsid w:val="00335F83"/>
    <w:rsid w:val="0033633B"/>
    <w:rsid w:val="00341250"/>
    <w:rsid w:val="0034176B"/>
    <w:rsid w:val="003445D3"/>
    <w:rsid w:val="00347B40"/>
    <w:rsid w:val="003556D6"/>
    <w:rsid w:val="00355A90"/>
    <w:rsid w:val="00356325"/>
    <w:rsid w:val="00357563"/>
    <w:rsid w:val="00357C33"/>
    <w:rsid w:val="003607DC"/>
    <w:rsid w:val="00366315"/>
    <w:rsid w:val="0037099C"/>
    <w:rsid w:val="00373167"/>
    <w:rsid w:val="00375491"/>
    <w:rsid w:val="003764E3"/>
    <w:rsid w:val="00376651"/>
    <w:rsid w:val="00376875"/>
    <w:rsid w:val="00377192"/>
    <w:rsid w:val="00381A6A"/>
    <w:rsid w:val="00381F22"/>
    <w:rsid w:val="003847A6"/>
    <w:rsid w:val="00384D91"/>
    <w:rsid w:val="00384F91"/>
    <w:rsid w:val="00385289"/>
    <w:rsid w:val="00391E84"/>
    <w:rsid w:val="003965B9"/>
    <w:rsid w:val="003A36DB"/>
    <w:rsid w:val="003A3AA0"/>
    <w:rsid w:val="003A5D26"/>
    <w:rsid w:val="003A625D"/>
    <w:rsid w:val="003B23BA"/>
    <w:rsid w:val="003B2EC8"/>
    <w:rsid w:val="003B6483"/>
    <w:rsid w:val="003C04E5"/>
    <w:rsid w:val="003C1CC6"/>
    <w:rsid w:val="003D11E7"/>
    <w:rsid w:val="003D15B9"/>
    <w:rsid w:val="003D5EA4"/>
    <w:rsid w:val="003D79D2"/>
    <w:rsid w:val="003D7C3A"/>
    <w:rsid w:val="003E0CA6"/>
    <w:rsid w:val="003E3620"/>
    <w:rsid w:val="003E3AB9"/>
    <w:rsid w:val="003E5C57"/>
    <w:rsid w:val="003E63CA"/>
    <w:rsid w:val="003E762E"/>
    <w:rsid w:val="003F228E"/>
    <w:rsid w:val="003F7006"/>
    <w:rsid w:val="00412863"/>
    <w:rsid w:val="00413BC9"/>
    <w:rsid w:val="004147FE"/>
    <w:rsid w:val="00417904"/>
    <w:rsid w:val="00421C88"/>
    <w:rsid w:val="004246DA"/>
    <w:rsid w:val="0042561F"/>
    <w:rsid w:val="00430D38"/>
    <w:rsid w:val="00432995"/>
    <w:rsid w:val="00442C32"/>
    <w:rsid w:val="00442F9F"/>
    <w:rsid w:val="004466F5"/>
    <w:rsid w:val="00447437"/>
    <w:rsid w:val="00452DE3"/>
    <w:rsid w:val="00454647"/>
    <w:rsid w:val="00457923"/>
    <w:rsid w:val="004614CA"/>
    <w:rsid w:val="004629A4"/>
    <w:rsid w:val="00465CFE"/>
    <w:rsid w:val="00470BD8"/>
    <w:rsid w:val="004738F8"/>
    <w:rsid w:val="00475790"/>
    <w:rsid w:val="0047778C"/>
    <w:rsid w:val="0048237A"/>
    <w:rsid w:val="00486845"/>
    <w:rsid w:val="00490288"/>
    <w:rsid w:val="0049176E"/>
    <w:rsid w:val="004933E6"/>
    <w:rsid w:val="0049361D"/>
    <w:rsid w:val="0049459F"/>
    <w:rsid w:val="00494F9C"/>
    <w:rsid w:val="004A3ABD"/>
    <w:rsid w:val="004A420B"/>
    <w:rsid w:val="004B0056"/>
    <w:rsid w:val="004B2138"/>
    <w:rsid w:val="004C54B8"/>
    <w:rsid w:val="004D1839"/>
    <w:rsid w:val="004D3D98"/>
    <w:rsid w:val="004E5BC4"/>
    <w:rsid w:val="004E6D49"/>
    <w:rsid w:val="004F3541"/>
    <w:rsid w:val="004F3793"/>
    <w:rsid w:val="004F40E9"/>
    <w:rsid w:val="005104A2"/>
    <w:rsid w:val="00512D11"/>
    <w:rsid w:val="00512F6E"/>
    <w:rsid w:val="00514FA2"/>
    <w:rsid w:val="0051511C"/>
    <w:rsid w:val="00517800"/>
    <w:rsid w:val="00522FDB"/>
    <w:rsid w:val="00523814"/>
    <w:rsid w:val="00524CD8"/>
    <w:rsid w:val="00524DB3"/>
    <w:rsid w:val="00525FC0"/>
    <w:rsid w:val="0052612D"/>
    <w:rsid w:val="00534CEB"/>
    <w:rsid w:val="00551924"/>
    <w:rsid w:val="00553FDB"/>
    <w:rsid w:val="00555B9A"/>
    <w:rsid w:val="00557A6F"/>
    <w:rsid w:val="00561BDB"/>
    <w:rsid w:val="00561DC9"/>
    <w:rsid w:val="00564ADC"/>
    <w:rsid w:val="005745C5"/>
    <w:rsid w:val="00574A60"/>
    <w:rsid w:val="00587BDA"/>
    <w:rsid w:val="00596D5C"/>
    <w:rsid w:val="005A2D8A"/>
    <w:rsid w:val="005B191C"/>
    <w:rsid w:val="005B1AA2"/>
    <w:rsid w:val="005B29DB"/>
    <w:rsid w:val="005C2E63"/>
    <w:rsid w:val="005C45CD"/>
    <w:rsid w:val="005C579D"/>
    <w:rsid w:val="005C5EED"/>
    <w:rsid w:val="005C6B50"/>
    <w:rsid w:val="005D2222"/>
    <w:rsid w:val="005D32AB"/>
    <w:rsid w:val="005D3B34"/>
    <w:rsid w:val="005D6AEB"/>
    <w:rsid w:val="005D70A5"/>
    <w:rsid w:val="005D7E4A"/>
    <w:rsid w:val="005E4132"/>
    <w:rsid w:val="005E45EC"/>
    <w:rsid w:val="005E57AC"/>
    <w:rsid w:val="005E6860"/>
    <w:rsid w:val="005F0894"/>
    <w:rsid w:val="006000DB"/>
    <w:rsid w:val="00603200"/>
    <w:rsid w:val="00604AE6"/>
    <w:rsid w:val="00604FFF"/>
    <w:rsid w:val="006053B9"/>
    <w:rsid w:val="006121C7"/>
    <w:rsid w:val="006124E5"/>
    <w:rsid w:val="006166D6"/>
    <w:rsid w:val="00616C52"/>
    <w:rsid w:val="00627429"/>
    <w:rsid w:val="00630301"/>
    <w:rsid w:val="00635F52"/>
    <w:rsid w:val="00640C2A"/>
    <w:rsid w:val="006427DA"/>
    <w:rsid w:val="00650CB0"/>
    <w:rsid w:val="00653757"/>
    <w:rsid w:val="006569FB"/>
    <w:rsid w:val="00662357"/>
    <w:rsid w:val="00663A0E"/>
    <w:rsid w:val="00664030"/>
    <w:rsid w:val="006649F6"/>
    <w:rsid w:val="00665752"/>
    <w:rsid w:val="00670CB8"/>
    <w:rsid w:val="0067349E"/>
    <w:rsid w:val="00673F6A"/>
    <w:rsid w:val="00675396"/>
    <w:rsid w:val="006774E7"/>
    <w:rsid w:val="0068114D"/>
    <w:rsid w:val="00685112"/>
    <w:rsid w:val="006922D1"/>
    <w:rsid w:val="00694CD1"/>
    <w:rsid w:val="0069532A"/>
    <w:rsid w:val="006A0474"/>
    <w:rsid w:val="006A140F"/>
    <w:rsid w:val="006A1FE1"/>
    <w:rsid w:val="006A39A3"/>
    <w:rsid w:val="006A4B57"/>
    <w:rsid w:val="006B15B2"/>
    <w:rsid w:val="006B3127"/>
    <w:rsid w:val="006B319A"/>
    <w:rsid w:val="006B4459"/>
    <w:rsid w:val="006C0396"/>
    <w:rsid w:val="006C0BBC"/>
    <w:rsid w:val="006C684F"/>
    <w:rsid w:val="006C72B4"/>
    <w:rsid w:val="006D008C"/>
    <w:rsid w:val="006D582D"/>
    <w:rsid w:val="006D5C9E"/>
    <w:rsid w:val="006D6D46"/>
    <w:rsid w:val="006E1F50"/>
    <w:rsid w:val="006E7B3F"/>
    <w:rsid w:val="006F0021"/>
    <w:rsid w:val="006F0932"/>
    <w:rsid w:val="006F482B"/>
    <w:rsid w:val="006F57B9"/>
    <w:rsid w:val="00701B29"/>
    <w:rsid w:val="0070284E"/>
    <w:rsid w:val="00706F70"/>
    <w:rsid w:val="007102DE"/>
    <w:rsid w:val="00710EB9"/>
    <w:rsid w:val="007127E7"/>
    <w:rsid w:val="00713995"/>
    <w:rsid w:val="0072225E"/>
    <w:rsid w:val="007231FF"/>
    <w:rsid w:val="007268FA"/>
    <w:rsid w:val="0073028A"/>
    <w:rsid w:val="00733D2E"/>
    <w:rsid w:val="007345E9"/>
    <w:rsid w:val="00737110"/>
    <w:rsid w:val="007408E6"/>
    <w:rsid w:val="007442FD"/>
    <w:rsid w:val="00750A2A"/>
    <w:rsid w:val="00751966"/>
    <w:rsid w:val="00753549"/>
    <w:rsid w:val="00755D04"/>
    <w:rsid w:val="007579E4"/>
    <w:rsid w:val="0076345C"/>
    <w:rsid w:val="007666BF"/>
    <w:rsid w:val="007667E6"/>
    <w:rsid w:val="00767AB8"/>
    <w:rsid w:val="00771078"/>
    <w:rsid w:val="007727A1"/>
    <w:rsid w:val="007734D3"/>
    <w:rsid w:val="00774208"/>
    <w:rsid w:val="00782BA1"/>
    <w:rsid w:val="007833EE"/>
    <w:rsid w:val="00784C67"/>
    <w:rsid w:val="00784C75"/>
    <w:rsid w:val="00787512"/>
    <w:rsid w:val="0079011D"/>
    <w:rsid w:val="00792834"/>
    <w:rsid w:val="00793122"/>
    <w:rsid w:val="007932FC"/>
    <w:rsid w:val="00793A8A"/>
    <w:rsid w:val="00793F26"/>
    <w:rsid w:val="007A2422"/>
    <w:rsid w:val="007A4AFB"/>
    <w:rsid w:val="007A58A1"/>
    <w:rsid w:val="007A5CBF"/>
    <w:rsid w:val="007B0C01"/>
    <w:rsid w:val="007B0C39"/>
    <w:rsid w:val="007B476B"/>
    <w:rsid w:val="007B5AFF"/>
    <w:rsid w:val="007B7031"/>
    <w:rsid w:val="007B7BE1"/>
    <w:rsid w:val="007C2676"/>
    <w:rsid w:val="007C685C"/>
    <w:rsid w:val="007D4E02"/>
    <w:rsid w:val="007D6F90"/>
    <w:rsid w:val="007E7607"/>
    <w:rsid w:val="007F152E"/>
    <w:rsid w:val="007F1D7A"/>
    <w:rsid w:val="007F2AF0"/>
    <w:rsid w:val="007F31F2"/>
    <w:rsid w:val="007F3524"/>
    <w:rsid w:val="007F4536"/>
    <w:rsid w:val="007F4D17"/>
    <w:rsid w:val="007F5768"/>
    <w:rsid w:val="007F7EE9"/>
    <w:rsid w:val="00802148"/>
    <w:rsid w:val="008056BD"/>
    <w:rsid w:val="00806175"/>
    <w:rsid w:val="0080738B"/>
    <w:rsid w:val="008114F2"/>
    <w:rsid w:val="00811652"/>
    <w:rsid w:val="008124D3"/>
    <w:rsid w:val="008132B9"/>
    <w:rsid w:val="00816FC4"/>
    <w:rsid w:val="0082049C"/>
    <w:rsid w:val="00822E87"/>
    <w:rsid w:val="008244AF"/>
    <w:rsid w:val="008245D1"/>
    <w:rsid w:val="00827EBE"/>
    <w:rsid w:val="00830019"/>
    <w:rsid w:val="008305BD"/>
    <w:rsid w:val="00831F07"/>
    <w:rsid w:val="00834F56"/>
    <w:rsid w:val="00836501"/>
    <w:rsid w:val="00837E5C"/>
    <w:rsid w:val="008402E7"/>
    <w:rsid w:val="00844BF9"/>
    <w:rsid w:val="00856BE0"/>
    <w:rsid w:val="00870EE8"/>
    <w:rsid w:val="00872F49"/>
    <w:rsid w:val="00883903"/>
    <w:rsid w:val="00886F34"/>
    <w:rsid w:val="00890761"/>
    <w:rsid w:val="00893496"/>
    <w:rsid w:val="008A16F5"/>
    <w:rsid w:val="008A307B"/>
    <w:rsid w:val="008A3611"/>
    <w:rsid w:val="008A427E"/>
    <w:rsid w:val="008A5FBA"/>
    <w:rsid w:val="008B2EE8"/>
    <w:rsid w:val="008B3486"/>
    <w:rsid w:val="008B4369"/>
    <w:rsid w:val="008B5011"/>
    <w:rsid w:val="008C11AD"/>
    <w:rsid w:val="008C1DD9"/>
    <w:rsid w:val="008C2334"/>
    <w:rsid w:val="008C2C95"/>
    <w:rsid w:val="008C6400"/>
    <w:rsid w:val="008D11F0"/>
    <w:rsid w:val="008D24D9"/>
    <w:rsid w:val="008D3CE9"/>
    <w:rsid w:val="008E1A5F"/>
    <w:rsid w:val="008E2B0A"/>
    <w:rsid w:val="008E5776"/>
    <w:rsid w:val="008F0189"/>
    <w:rsid w:val="008F0D1C"/>
    <w:rsid w:val="008F1E1F"/>
    <w:rsid w:val="008F2A97"/>
    <w:rsid w:val="008F631D"/>
    <w:rsid w:val="008F7CAA"/>
    <w:rsid w:val="00901402"/>
    <w:rsid w:val="0090160E"/>
    <w:rsid w:val="00903120"/>
    <w:rsid w:val="0091123C"/>
    <w:rsid w:val="00912041"/>
    <w:rsid w:val="0092534A"/>
    <w:rsid w:val="009270D6"/>
    <w:rsid w:val="0093175C"/>
    <w:rsid w:val="00932B9A"/>
    <w:rsid w:val="0093332E"/>
    <w:rsid w:val="00933E71"/>
    <w:rsid w:val="00946E19"/>
    <w:rsid w:val="00947A1C"/>
    <w:rsid w:val="009516B4"/>
    <w:rsid w:val="00951841"/>
    <w:rsid w:val="009525B0"/>
    <w:rsid w:val="0095388C"/>
    <w:rsid w:val="00954464"/>
    <w:rsid w:val="00955FA4"/>
    <w:rsid w:val="00956104"/>
    <w:rsid w:val="00960BC9"/>
    <w:rsid w:val="00961066"/>
    <w:rsid w:val="00964058"/>
    <w:rsid w:val="009650B6"/>
    <w:rsid w:val="0096773D"/>
    <w:rsid w:val="00967809"/>
    <w:rsid w:val="009742DF"/>
    <w:rsid w:val="00975597"/>
    <w:rsid w:val="0098375D"/>
    <w:rsid w:val="009871B8"/>
    <w:rsid w:val="009877E3"/>
    <w:rsid w:val="009877F9"/>
    <w:rsid w:val="00997AE6"/>
    <w:rsid w:val="009A05BA"/>
    <w:rsid w:val="009A099C"/>
    <w:rsid w:val="009A26B3"/>
    <w:rsid w:val="009B2A4D"/>
    <w:rsid w:val="009B5D64"/>
    <w:rsid w:val="009B674F"/>
    <w:rsid w:val="009C4874"/>
    <w:rsid w:val="009C5F92"/>
    <w:rsid w:val="009D0BA2"/>
    <w:rsid w:val="009E175C"/>
    <w:rsid w:val="009E2DF2"/>
    <w:rsid w:val="009E57D1"/>
    <w:rsid w:val="009E7EE5"/>
    <w:rsid w:val="009F165C"/>
    <w:rsid w:val="009F3A90"/>
    <w:rsid w:val="00A038B5"/>
    <w:rsid w:val="00A03F2D"/>
    <w:rsid w:val="00A07D2F"/>
    <w:rsid w:val="00A1123F"/>
    <w:rsid w:val="00A11638"/>
    <w:rsid w:val="00A11AE7"/>
    <w:rsid w:val="00A125B3"/>
    <w:rsid w:val="00A12CAC"/>
    <w:rsid w:val="00A13586"/>
    <w:rsid w:val="00A1447C"/>
    <w:rsid w:val="00A176E2"/>
    <w:rsid w:val="00A21639"/>
    <w:rsid w:val="00A23C8F"/>
    <w:rsid w:val="00A25699"/>
    <w:rsid w:val="00A26A95"/>
    <w:rsid w:val="00A30641"/>
    <w:rsid w:val="00A35BA1"/>
    <w:rsid w:val="00A37A3E"/>
    <w:rsid w:val="00A37B1E"/>
    <w:rsid w:val="00A4010B"/>
    <w:rsid w:val="00A401D7"/>
    <w:rsid w:val="00A40775"/>
    <w:rsid w:val="00A408B6"/>
    <w:rsid w:val="00A439DF"/>
    <w:rsid w:val="00A4444D"/>
    <w:rsid w:val="00A45373"/>
    <w:rsid w:val="00A45663"/>
    <w:rsid w:val="00A463A2"/>
    <w:rsid w:val="00A4678D"/>
    <w:rsid w:val="00A479A3"/>
    <w:rsid w:val="00A518F2"/>
    <w:rsid w:val="00A53885"/>
    <w:rsid w:val="00A5754F"/>
    <w:rsid w:val="00A659BD"/>
    <w:rsid w:val="00A6768C"/>
    <w:rsid w:val="00A73BAA"/>
    <w:rsid w:val="00A73F5A"/>
    <w:rsid w:val="00A741F0"/>
    <w:rsid w:val="00A84480"/>
    <w:rsid w:val="00A870B5"/>
    <w:rsid w:val="00A91B14"/>
    <w:rsid w:val="00A91E9C"/>
    <w:rsid w:val="00A9389C"/>
    <w:rsid w:val="00A941FF"/>
    <w:rsid w:val="00A94D05"/>
    <w:rsid w:val="00A968E3"/>
    <w:rsid w:val="00AB01E0"/>
    <w:rsid w:val="00AB2EBF"/>
    <w:rsid w:val="00AB4222"/>
    <w:rsid w:val="00AB42A3"/>
    <w:rsid w:val="00AB42EE"/>
    <w:rsid w:val="00AB6655"/>
    <w:rsid w:val="00AB6EF5"/>
    <w:rsid w:val="00AC0E81"/>
    <w:rsid w:val="00AC7345"/>
    <w:rsid w:val="00AD3C61"/>
    <w:rsid w:val="00AD760A"/>
    <w:rsid w:val="00AE5C31"/>
    <w:rsid w:val="00AE73B3"/>
    <w:rsid w:val="00AF02C0"/>
    <w:rsid w:val="00AF2B07"/>
    <w:rsid w:val="00AF3ADC"/>
    <w:rsid w:val="00AF54EA"/>
    <w:rsid w:val="00B0409C"/>
    <w:rsid w:val="00B054F0"/>
    <w:rsid w:val="00B0557A"/>
    <w:rsid w:val="00B078F2"/>
    <w:rsid w:val="00B07F7C"/>
    <w:rsid w:val="00B10A9E"/>
    <w:rsid w:val="00B16626"/>
    <w:rsid w:val="00B16D98"/>
    <w:rsid w:val="00B212BE"/>
    <w:rsid w:val="00B22AB9"/>
    <w:rsid w:val="00B26E51"/>
    <w:rsid w:val="00B3049F"/>
    <w:rsid w:val="00B430BA"/>
    <w:rsid w:val="00B437D5"/>
    <w:rsid w:val="00B440E4"/>
    <w:rsid w:val="00B44942"/>
    <w:rsid w:val="00B45BD7"/>
    <w:rsid w:val="00B535E3"/>
    <w:rsid w:val="00B55906"/>
    <w:rsid w:val="00B6254F"/>
    <w:rsid w:val="00B63B75"/>
    <w:rsid w:val="00B65A7E"/>
    <w:rsid w:val="00B67ACA"/>
    <w:rsid w:val="00B67C9A"/>
    <w:rsid w:val="00B73400"/>
    <w:rsid w:val="00B772F3"/>
    <w:rsid w:val="00B826D4"/>
    <w:rsid w:val="00B82FF7"/>
    <w:rsid w:val="00B837F7"/>
    <w:rsid w:val="00B84CE2"/>
    <w:rsid w:val="00B85708"/>
    <w:rsid w:val="00B87110"/>
    <w:rsid w:val="00B907B1"/>
    <w:rsid w:val="00B935A7"/>
    <w:rsid w:val="00B9632D"/>
    <w:rsid w:val="00BA368F"/>
    <w:rsid w:val="00BA4F13"/>
    <w:rsid w:val="00BB1283"/>
    <w:rsid w:val="00BB2717"/>
    <w:rsid w:val="00BB28FF"/>
    <w:rsid w:val="00BB6D61"/>
    <w:rsid w:val="00BB730F"/>
    <w:rsid w:val="00BC14D2"/>
    <w:rsid w:val="00BC5C60"/>
    <w:rsid w:val="00BC6493"/>
    <w:rsid w:val="00BD0F0B"/>
    <w:rsid w:val="00BD21D1"/>
    <w:rsid w:val="00BD7897"/>
    <w:rsid w:val="00BF04C9"/>
    <w:rsid w:val="00BF158C"/>
    <w:rsid w:val="00BF18DB"/>
    <w:rsid w:val="00BF3CA2"/>
    <w:rsid w:val="00BF3FE0"/>
    <w:rsid w:val="00BF4EE5"/>
    <w:rsid w:val="00BF64F0"/>
    <w:rsid w:val="00BF749E"/>
    <w:rsid w:val="00BF7D64"/>
    <w:rsid w:val="00C01439"/>
    <w:rsid w:val="00C06E40"/>
    <w:rsid w:val="00C121AD"/>
    <w:rsid w:val="00C152FD"/>
    <w:rsid w:val="00C15B43"/>
    <w:rsid w:val="00C22BB3"/>
    <w:rsid w:val="00C2379A"/>
    <w:rsid w:val="00C25FCA"/>
    <w:rsid w:val="00C27679"/>
    <w:rsid w:val="00C30361"/>
    <w:rsid w:val="00C3061D"/>
    <w:rsid w:val="00C321C1"/>
    <w:rsid w:val="00C324F8"/>
    <w:rsid w:val="00C3569D"/>
    <w:rsid w:val="00C373FC"/>
    <w:rsid w:val="00C377FA"/>
    <w:rsid w:val="00C42FE9"/>
    <w:rsid w:val="00C45C02"/>
    <w:rsid w:val="00C4744E"/>
    <w:rsid w:val="00C5219B"/>
    <w:rsid w:val="00C526B5"/>
    <w:rsid w:val="00C52BDA"/>
    <w:rsid w:val="00C56013"/>
    <w:rsid w:val="00C5709C"/>
    <w:rsid w:val="00C57328"/>
    <w:rsid w:val="00C60788"/>
    <w:rsid w:val="00C62160"/>
    <w:rsid w:val="00C62C37"/>
    <w:rsid w:val="00C6401F"/>
    <w:rsid w:val="00C649F2"/>
    <w:rsid w:val="00C65D75"/>
    <w:rsid w:val="00C65E7B"/>
    <w:rsid w:val="00C66953"/>
    <w:rsid w:val="00C75299"/>
    <w:rsid w:val="00C821C1"/>
    <w:rsid w:val="00C9167B"/>
    <w:rsid w:val="00CA1362"/>
    <w:rsid w:val="00CA2C60"/>
    <w:rsid w:val="00CA7369"/>
    <w:rsid w:val="00CB0829"/>
    <w:rsid w:val="00CB14AD"/>
    <w:rsid w:val="00CB48E2"/>
    <w:rsid w:val="00CB5291"/>
    <w:rsid w:val="00CC085C"/>
    <w:rsid w:val="00CC1019"/>
    <w:rsid w:val="00CC104F"/>
    <w:rsid w:val="00CC5930"/>
    <w:rsid w:val="00CD3034"/>
    <w:rsid w:val="00CD6CB6"/>
    <w:rsid w:val="00CE2826"/>
    <w:rsid w:val="00CE4446"/>
    <w:rsid w:val="00CF024C"/>
    <w:rsid w:val="00CF071E"/>
    <w:rsid w:val="00CF4393"/>
    <w:rsid w:val="00CF563C"/>
    <w:rsid w:val="00CF64CB"/>
    <w:rsid w:val="00D01137"/>
    <w:rsid w:val="00D06323"/>
    <w:rsid w:val="00D07AD6"/>
    <w:rsid w:val="00D108F1"/>
    <w:rsid w:val="00D117D3"/>
    <w:rsid w:val="00D129AA"/>
    <w:rsid w:val="00D13D05"/>
    <w:rsid w:val="00D177F0"/>
    <w:rsid w:val="00D20C76"/>
    <w:rsid w:val="00D247DC"/>
    <w:rsid w:val="00D24E93"/>
    <w:rsid w:val="00D343C4"/>
    <w:rsid w:val="00D3441C"/>
    <w:rsid w:val="00D41AAC"/>
    <w:rsid w:val="00D43F58"/>
    <w:rsid w:val="00D506DC"/>
    <w:rsid w:val="00D50B1B"/>
    <w:rsid w:val="00D53CB8"/>
    <w:rsid w:val="00D53D36"/>
    <w:rsid w:val="00D54985"/>
    <w:rsid w:val="00D655C3"/>
    <w:rsid w:val="00D7158C"/>
    <w:rsid w:val="00D75072"/>
    <w:rsid w:val="00D75686"/>
    <w:rsid w:val="00D773DB"/>
    <w:rsid w:val="00D801D6"/>
    <w:rsid w:val="00D817B9"/>
    <w:rsid w:val="00D8537E"/>
    <w:rsid w:val="00D87375"/>
    <w:rsid w:val="00D90993"/>
    <w:rsid w:val="00D90F2D"/>
    <w:rsid w:val="00D917AF"/>
    <w:rsid w:val="00D93378"/>
    <w:rsid w:val="00DA1266"/>
    <w:rsid w:val="00DA1765"/>
    <w:rsid w:val="00DA1C45"/>
    <w:rsid w:val="00DA6331"/>
    <w:rsid w:val="00DA653A"/>
    <w:rsid w:val="00DA789A"/>
    <w:rsid w:val="00DB28D3"/>
    <w:rsid w:val="00DB7661"/>
    <w:rsid w:val="00DC08B5"/>
    <w:rsid w:val="00DC0AF3"/>
    <w:rsid w:val="00DC4563"/>
    <w:rsid w:val="00DC5E86"/>
    <w:rsid w:val="00DD1142"/>
    <w:rsid w:val="00DD170A"/>
    <w:rsid w:val="00DD2808"/>
    <w:rsid w:val="00DD2E26"/>
    <w:rsid w:val="00DD4393"/>
    <w:rsid w:val="00DD46F7"/>
    <w:rsid w:val="00DD47FA"/>
    <w:rsid w:val="00DD49BC"/>
    <w:rsid w:val="00DD7D36"/>
    <w:rsid w:val="00DE2DAD"/>
    <w:rsid w:val="00DE4FF5"/>
    <w:rsid w:val="00DE5392"/>
    <w:rsid w:val="00DF3A18"/>
    <w:rsid w:val="00E000E5"/>
    <w:rsid w:val="00E008A6"/>
    <w:rsid w:val="00E03329"/>
    <w:rsid w:val="00E054AD"/>
    <w:rsid w:val="00E11F06"/>
    <w:rsid w:val="00E12A35"/>
    <w:rsid w:val="00E132DF"/>
    <w:rsid w:val="00E14C6F"/>
    <w:rsid w:val="00E21F3C"/>
    <w:rsid w:val="00E256B8"/>
    <w:rsid w:val="00E324CA"/>
    <w:rsid w:val="00E357A8"/>
    <w:rsid w:val="00E4297B"/>
    <w:rsid w:val="00E4363B"/>
    <w:rsid w:val="00E446AA"/>
    <w:rsid w:val="00E47646"/>
    <w:rsid w:val="00E47B53"/>
    <w:rsid w:val="00E47ED9"/>
    <w:rsid w:val="00E5147C"/>
    <w:rsid w:val="00E5168F"/>
    <w:rsid w:val="00E52E44"/>
    <w:rsid w:val="00E57C8D"/>
    <w:rsid w:val="00E60655"/>
    <w:rsid w:val="00E61D4C"/>
    <w:rsid w:val="00E64DF4"/>
    <w:rsid w:val="00E65647"/>
    <w:rsid w:val="00E656B1"/>
    <w:rsid w:val="00E70AF9"/>
    <w:rsid w:val="00E7190B"/>
    <w:rsid w:val="00E71F4D"/>
    <w:rsid w:val="00E7331D"/>
    <w:rsid w:val="00E73F0D"/>
    <w:rsid w:val="00E750C2"/>
    <w:rsid w:val="00E75BAC"/>
    <w:rsid w:val="00E76748"/>
    <w:rsid w:val="00E77908"/>
    <w:rsid w:val="00E81A2F"/>
    <w:rsid w:val="00E81B90"/>
    <w:rsid w:val="00E821BA"/>
    <w:rsid w:val="00E84901"/>
    <w:rsid w:val="00E85BC2"/>
    <w:rsid w:val="00E86262"/>
    <w:rsid w:val="00E863F0"/>
    <w:rsid w:val="00E92177"/>
    <w:rsid w:val="00E93C85"/>
    <w:rsid w:val="00EA4226"/>
    <w:rsid w:val="00EA6618"/>
    <w:rsid w:val="00EA6720"/>
    <w:rsid w:val="00EA77D6"/>
    <w:rsid w:val="00EB3AB5"/>
    <w:rsid w:val="00EC2A27"/>
    <w:rsid w:val="00EC2B81"/>
    <w:rsid w:val="00EC316A"/>
    <w:rsid w:val="00EC7058"/>
    <w:rsid w:val="00ED06D9"/>
    <w:rsid w:val="00ED33F1"/>
    <w:rsid w:val="00ED366E"/>
    <w:rsid w:val="00ED4DC3"/>
    <w:rsid w:val="00ED5BA3"/>
    <w:rsid w:val="00ED64B1"/>
    <w:rsid w:val="00EE43FD"/>
    <w:rsid w:val="00EE4991"/>
    <w:rsid w:val="00EE534B"/>
    <w:rsid w:val="00EF1756"/>
    <w:rsid w:val="00EF48DB"/>
    <w:rsid w:val="00EF674F"/>
    <w:rsid w:val="00EF70C8"/>
    <w:rsid w:val="00EF7B24"/>
    <w:rsid w:val="00EF7D2A"/>
    <w:rsid w:val="00F12080"/>
    <w:rsid w:val="00F128EC"/>
    <w:rsid w:val="00F12F2E"/>
    <w:rsid w:val="00F14C29"/>
    <w:rsid w:val="00F20035"/>
    <w:rsid w:val="00F2275B"/>
    <w:rsid w:val="00F25920"/>
    <w:rsid w:val="00F26E6A"/>
    <w:rsid w:val="00F27D35"/>
    <w:rsid w:val="00F33022"/>
    <w:rsid w:val="00F3414C"/>
    <w:rsid w:val="00F36542"/>
    <w:rsid w:val="00F37611"/>
    <w:rsid w:val="00F463DF"/>
    <w:rsid w:val="00F514DA"/>
    <w:rsid w:val="00F527F3"/>
    <w:rsid w:val="00F5650C"/>
    <w:rsid w:val="00F62E6A"/>
    <w:rsid w:val="00F640A4"/>
    <w:rsid w:val="00F807A9"/>
    <w:rsid w:val="00F812BA"/>
    <w:rsid w:val="00F90893"/>
    <w:rsid w:val="00F9351D"/>
    <w:rsid w:val="00F94AFF"/>
    <w:rsid w:val="00F950B0"/>
    <w:rsid w:val="00F95CD2"/>
    <w:rsid w:val="00F964E8"/>
    <w:rsid w:val="00FA29AE"/>
    <w:rsid w:val="00FA4A95"/>
    <w:rsid w:val="00FA588C"/>
    <w:rsid w:val="00FA644E"/>
    <w:rsid w:val="00FB5437"/>
    <w:rsid w:val="00FC09EA"/>
    <w:rsid w:val="00FC342C"/>
    <w:rsid w:val="00FC34A9"/>
    <w:rsid w:val="00FC3DC1"/>
    <w:rsid w:val="00FD025B"/>
    <w:rsid w:val="00FD33E4"/>
    <w:rsid w:val="00FD403B"/>
    <w:rsid w:val="00FD46E5"/>
    <w:rsid w:val="00FD4A56"/>
    <w:rsid w:val="00FE00F3"/>
    <w:rsid w:val="00FE0BB4"/>
    <w:rsid w:val="00FE238A"/>
    <w:rsid w:val="00FE27E1"/>
    <w:rsid w:val="00FE33F4"/>
    <w:rsid w:val="00FE7F2C"/>
    <w:rsid w:val="00FF2276"/>
    <w:rsid w:val="00FF3674"/>
    <w:rsid w:val="00FF3714"/>
    <w:rsid w:val="00FF527A"/>
    <w:rsid w:val="00FF65A8"/>
    <w:rsid w:val="00FF6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A4"/>
    <w:pPr>
      <w:spacing w:after="0" w:line="240" w:lineRule="auto"/>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629A4"/>
    <w:rPr>
      <w:sz w:val="16"/>
      <w:szCs w:val="16"/>
    </w:rPr>
  </w:style>
  <w:style w:type="paragraph" w:styleId="CommentText">
    <w:name w:val="annotation text"/>
    <w:basedOn w:val="Normal"/>
    <w:link w:val="CommentTextChar"/>
    <w:rsid w:val="004629A4"/>
    <w:rPr>
      <w:szCs w:val="20"/>
    </w:rPr>
  </w:style>
  <w:style w:type="character" w:customStyle="1" w:styleId="CommentTextChar">
    <w:name w:val="Comment Text Char"/>
    <w:basedOn w:val="DefaultParagraphFont"/>
    <w:link w:val="CommentText"/>
    <w:rsid w:val="004629A4"/>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4629A4"/>
    <w:rPr>
      <w:rFonts w:ascii="Tahoma" w:hAnsi="Tahoma" w:cs="Tahoma"/>
      <w:sz w:val="16"/>
      <w:szCs w:val="16"/>
    </w:rPr>
  </w:style>
  <w:style w:type="character" w:customStyle="1" w:styleId="BalloonTextChar">
    <w:name w:val="Balloon Text Char"/>
    <w:basedOn w:val="DefaultParagraphFont"/>
    <w:link w:val="BalloonText"/>
    <w:uiPriority w:val="99"/>
    <w:semiHidden/>
    <w:rsid w:val="004629A4"/>
    <w:rPr>
      <w:rFonts w:ascii="Tahoma" w:eastAsia="Times New Roman" w:hAnsi="Tahoma" w:cs="Tahoma"/>
      <w:sz w:val="16"/>
      <w:szCs w:val="16"/>
      <w:lang w:eastAsia="en-AU"/>
    </w:rPr>
  </w:style>
  <w:style w:type="paragraph" w:styleId="ListParagraph">
    <w:name w:val="List Paragraph"/>
    <w:basedOn w:val="Normal"/>
    <w:uiPriority w:val="34"/>
    <w:qFormat/>
    <w:rsid w:val="004629A4"/>
    <w:pPr>
      <w:ind w:left="720"/>
      <w:contextualSpacing/>
    </w:pPr>
  </w:style>
  <w:style w:type="paragraph" w:styleId="Header">
    <w:name w:val="header"/>
    <w:basedOn w:val="Normal"/>
    <w:link w:val="HeaderChar"/>
    <w:uiPriority w:val="99"/>
    <w:unhideWhenUsed/>
    <w:rsid w:val="00BC6493"/>
    <w:pPr>
      <w:tabs>
        <w:tab w:val="center" w:pos="4513"/>
        <w:tab w:val="right" w:pos="9026"/>
      </w:tabs>
    </w:pPr>
  </w:style>
  <w:style w:type="character" w:customStyle="1" w:styleId="HeaderChar">
    <w:name w:val="Header Char"/>
    <w:basedOn w:val="DefaultParagraphFont"/>
    <w:link w:val="Header"/>
    <w:uiPriority w:val="99"/>
    <w:rsid w:val="00BC6493"/>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BC6493"/>
    <w:pPr>
      <w:tabs>
        <w:tab w:val="center" w:pos="4513"/>
        <w:tab w:val="right" w:pos="9026"/>
      </w:tabs>
    </w:pPr>
  </w:style>
  <w:style w:type="character" w:customStyle="1" w:styleId="FooterChar">
    <w:name w:val="Footer Char"/>
    <w:basedOn w:val="DefaultParagraphFont"/>
    <w:link w:val="Footer"/>
    <w:uiPriority w:val="99"/>
    <w:rsid w:val="00BC6493"/>
    <w:rPr>
      <w:rFonts w:ascii="Arial" w:eastAsia="Times New Roman" w:hAnsi="Arial" w:cs="Times New Roman"/>
      <w:sz w:val="2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A4"/>
    <w:pPr>
      <w:spacing w:after="0" w:line="240" w:lineRule="auto"/>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629A4"/>
    <w:rPr>
      <w:sz w:val="16"/>
      <w:szCs w:val="16"/>
    </w:rPr>
  </w:style>
  <w:style w:type="paragraph" w:styleId="CommentText">
    <w:name w:val="annotation text"/>
    <w:basedOn w:val="Normal"/>
    <w:link w:val="CommentTextChar"/>
    <w:rsid w:val="004629A4"/>
    <w:rPr>
      <w:szCs w:val="20"/>
    </w:rPr>
  </w:style>
  <w:style w:type="character" w:customStyle="1" w:styleId="CommentTextChar">
    <w:name w:val="Comment Text Char"/>
    <w:basedOn w:val="DefaultParagraphFont"/>
    <w:link w:val="CommentText"/>
    <w:rsid w:val="004629A4"/>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4629A4"/>
    <w:rPr>
      <w:rFonts w:ascii="Tahoma" w:hAnsi="Tahoma" w:cs="Tahoma"/>
      <w:sz w:val="16"/>
      <w:szCs w:val="16"/>
    </w:rPr>
  </w:style>
  <w:style w:type="character" w:customStyle="1" w:styleId="BalloonTextChar">
    <w:name w:val="Balloon Text Char"/>
    <w:basedOn w:val="DefaultParagraphFont"/>
    <w:link w:val="BalloonText"/>
    <w:uiPriority w:val="99"/>
    <w:semiHidden/>
    <w:rsid w:val="004629A4"/>
    <w:rPr>
      <w:rFonts w:ascii="Tahoma" w:eastAsia="Times New Roman" w:hAnsi="Tahoma" w:cs="Tahoma"/>
      <w:sz w:val="16"/>
      <w:szCs w:val="16"/>
      <w:lang w:eastAsia="en-AU"/>
    </w:rPr>
  </w:style>
  <w:style w:type="paragraph" w:styleId="ListParagraph">
    <w:name w:val="List Paragraph"/>
    <w:basedOn w:val="Normal"/>
    <w:uiPriority w:val="34"/>
    <w:qFormat/>
    <w:rsid w:val="004629A4"/>
    <w:pPr>
      <w:ind w:left="720"/>
      <w:contextualSpacing/>
    </w:pPr>
  </w:style>
  <w:style w:type="paragraph" w:styleId="Header">
    <w:name w:val="header"/>
    <w:basedOn w:val="Normal"/>
    <w:link w:val="HeaderChar"/>
    <w:uiPriority w:val="99"/>
    <w:unhideWhenUsed/>
    <w:rsid w:val="00BC6493"/>
    <w:pPr>
      <w:tabs>
        <w:tab w:val="center" w:pos="4513"/>
        <w:tab w:val="right" w:pos="9026"/>
      </w:tabs>
    </w:pPr>
  </w:style>
  <w:style w:type="character" w:customStyle="1" w:styleId="HeaderChar">
    <w:name w:val="Header Char"/>
    <w:basedOn w:val="DefaultParagraphFont"/>
    <w:link w:val="Header"/>
    <w:uiPriority w:val="99"/>
    <w:rsid w:val="00BC6493"/>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BC6493"/>
    <w:pPr>
      <w:tabs>
        <w:tab w:val="center" w:pos="4513"/>
        <w:tab w:val="right" w:pos="9026"/>
      </w:tabs>
    </w:pPr>
  </w:style>
  <w:style w:type="character" w:customStyle="1" w:styleId="FooterChar">
    <w:name w:val="Footer Char"/>
    <w:basedOn w:val="DefaultParagraphFont"/>
    <w:link w:val="Footer"/>
    <w:uiPriority w:val="99"/>
    <w:rsid w:val="00BC6493"/>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588ACC1910432A8F3C25F2DFEFE0E6"/>
        <w:category>
          <w:name w:val="General"/>
          <w:gallery w:val="placeholder"/>
        </w:category>
        <w:types>
          <w:type w:val="bbPlcHdr"/>
        </w:types>
        <w:behaviors>
          <w:behavior w:val="content"/>
        </w:behaviors>
        <w:guid w:val="{2DEA3F20-67D2-46E9-9A0E-9356102F6952}"/>
      </w:docPartPr>
      <w:docPartBody>
        <w:p w:rsidR="00025C5A" w:rsidRDefault="00AD18C9" w:rsidP="00AD18C9">
          <w:pPr>
            <w:pStyle w:val="D4588ACC1910432A8F3C25F2DFEFE0E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C9"/>
    <w:rsid w:val="00025C5A"/>
    <w:rsid w:val="004B10C6"/>
    <w:rsid w:val="00AD1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88ACC1910432A8F3C25F2DFEFE0E6">
    <w:name w:val="D4588ACC1910432A8F3C25F2DFEFE0E6"/>
    <w:rsid w:val="00AD18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88ACC1910432A8F3C25F2DFEFE0E6">
    <w:name w:val="D4588ACC1910432A8F3C25F2DFEFE0E6"/>
    <w:rsid w:val="00AD1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Croft</dc:creator>
  <cp:lastModifiedBy>Julie Croft</cp:lastModifiedBy>
  <cp:revision>2</cp:revision>
  <dcterms:created xsi:type="dcterms:W3CDTF">2014-08-11T00:46:00Z</dcterms:created>
  <dcterms:modified xsi:type="dcterms:W3CDTF">2014-08-11T00:46:00Z</dcterms:modified>
</cp:coreProperties>
</file>